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85" w:rsidRPr="00D21B85" w:rsidRDefault="00D21B85" w:rsidP="00D21B85">
      <w:pPr>
        <w:spacing w:after="0" w:line="240" w:lineRule="atLeast"/>
        <w:textAlignment w:val="baseline"/>
        <w:outlineLvl w:val="0"/>
        <w:rPr>
          <w:rFonts w:ascii="Arial" w:eastAsia="Times New Roman" w:hAnsi="Arial" w:cs="Arial"/>
          <w:color w:val="333333"/>
          <w:kern w:val="36"/>
          <w:sz w:val="45"/>
          <w:szCs w:val="45"/>
          <w:lang w:eastAsia="fr-FR"/>
        </w:rPr>
      </w:pPr>
      <w:r w:rsidRPr="00D21B85">
        <w:rPr>
          <w:rFonts w:ascii="Arial" w:eastAsia="Times New Roman" w:hAnsi="Arial" w:cs="Arial"/>
          <w:color w:val="333333"/>
          <w:kern w:val="36"/>
          <w:sz w:val="45"/>
          <w:szCs w:val="45"/>
          <w:lang w:eastAsia="fr-FR"/>
        </w:rPr>
        <w:t>APPEL A PROJETS DE MOBILITÉ</w:t>
      </w:r>
    </w:p>
    <w:p w:rsidR="00D21B85" w:rsidRPr="00D21B85" w:rsidRDefault="00D21B85" w:rsidP="00D21B85">
      <w:pPr>
        <w:spacing w:after="0" w:line="240" w:lineRule="auto"/>
        <w:textAlignment w:val="baseline"/>
        <w:rPr>
          <w:rFonts w:ascii="Arial" w:eastAsia="Times New Roman" w:hAnsi="Arial" w:cs="Arial"/>
          <w:color w:val="666666"/>
          <w:sz w:val="21"/>
          <w:szCs w:val="21"/>
          <w:lang w:eastAsia="fr-FR"/>
        </w:rPr>
      </w:pPr>
      <w:proofErr w:type="spellStart"/>
      <w:r w:rsidRPr="00D21B85">
        <w:rPr>
          <w:rFonts w:ascii="Arial" w:eastAsia="Times New Roman" w:hAnsi="Arial" w:cs="Arial"/>
          <w:color w:val="666666"/>
          <w:sz w:val="21"/>
          <w:lang w:eastAsia="fr-FR"/>
        </w:rPr>
        <w:t>Juil</w:t>
      </w:r>
      <w:proofErr w:type="spellEnd"/>
      <w:r w:rsidRPr="00D21B85">
        <w:rPr>
          <w:rFonts w:ascii="Arial" w:eastAsia="Times New Roman" w:hAnsi="Arial" w:cs="Arial"/>
          <w:color w:val="666666"/>
          <w:sz w:val="21"/>
          <w:lang w:eastAsia="fr-FR"/>
        </w:rPr>
        <w:t xml:space="preserve"> 4, 2017</w:t>
      </w:r>
      <w:r w:rsidRPr="00D21B85">
        <w:rPr>
          <w:rFonts w:ascii="Arial" w:eastAsia="Times New Roman" w:hAnsi="Arial" w:cs="Arial"/>
          <w:color w:val="666666"/>
          <w:sz w:val="21"/>
          <w:szCs w:val="21"/>
          <w:lang w:eastAsia="fr-FR"/>
        </w:rPr>
        <w:t> | </w:t>
      </w:r>
      <w:hyperlink r:id="rId4" w:history="1">
        <w:r w:rsidRPr="00D21B85">
          <w:rPr>
            <w:rFonts w:ascii="Arial" w:eastAsia="Times New Roman" w:hAnsi="Arial" w:cs="Arial"/>
            <w:color w:val="666666"/>
            <w:sz w:val="21"/>
            <w:lang w:eastAsia="fr-FR"/>
          </w:rPr>
          <w:t>Actualités</w:t>
        </w:r>
      </w:hyperlink>
      <w:r w:rsidRPr="00D21B85">
        <w:rPr>
          <w:rFonts w:ascii="Arial" w:eastAsia="Times New Roman" w:hAnsi="Arial" w:cs="Arial"/>
          <w:color w:val="666666"/>
          <w:sz w:val="21"/>
          <w:szCs w:val="21"/>
          <w:lang w:eastAsia="fr-FR"/>
        </w:rPr>
        <w:t>, </w:t>
      </w:r>
      <w:hyperlink r:id="rId5" w:history="1">
        <w:r w:rsidRPr="00D21B85">
          <w:rPr>
            <w:rFonts w:ascii="Arial" w:eastAsia="Times New Roman" w:hAnsi="Arial" w:cs="Arial"/>
            <w:color w:val="666666"/>
            <w:sz w:val="21"/>
            <w:lang w:eastAsia="fr-FR"/>
          </w:rPr>
          <w:t>Appels</w:t>
        </w:r>
      </w:hyperlink>
      <w:r w:rsidRPr="00D21B85">
        <w:rPr>
          <w:rFonts w:ascii="Arial" w:eastAsia="Times New Roman" w:hAnsi="Arial" w:cs="Arial"/>
          <w:color w:val="666666"/>
          <w:sz w:val="21"/>
          <w:szCs w:val="21"/>
          <w:lang w:eastAsia="fr-FR"/>
        </w:rPr>
        <w:t> | </w:t>
      </w:r>
      <w:hyperlink r:id="rId6" w:anchor="respond" w:history="1">
        <w:r w:rsidRPr="00D21B85">
          <w:rPr>
            <w:rFonts w:ascii="Arial" w:eastAsia="Times New Roman" w:hAnsi="Arial" w:cs="Arial"/>
            <w:color w:val="666666"/>
            <w:sz w:val="21"/>
            <w:lang w:eastAsia="fr-FR"/>
          </w:rPr>
          <w:t>0 commentaires</w:t>
        </w:r>
      </w:hyperlink>
    </w:p>
    <w:p w:rsidR="00D21B85" w:rsidRPr="00D21B85" w:rsidRDefault="00D21B85" w:rsidP="00D21B85">
      <w:pPr>
        <w:spacing w:line="0" w:lineRule="auto"/>
        <w:jc w:val="center"/>
        <w:textAlignment w:val="baseline"/>
        <w:rPr>
          <w:rFonts w:ascii="Arial" w:eastAsia="Times New Roman" w:hAnsi="Arial" w:cs="Arial"/>
          <w:color w:val="666666"/>
          <w:sz w:val="21"/>
          <w:szCs w:val="21"/>
          <w:lang w:eastAsia="fr-FR"/>
        </w:rPr>
      </w:pPr>
      <w:r>
        <w:rPr>
          <w:rFonts w:ascii="Arial" w:eastAsia="Times New Roman" w:hAnsi="Arial" w:cs="Arial"/>
          <w:noProof/>
          <w:color w:val="666666"/>
          <w:sz w:val="21"/>
          <w:szCs w:val="21"/>
          <w:lang w:eastAsia="fr-FR"/>
        </w:rPr>
        <w:drawing>
          <wp:inline distT="0" distB="0" distL="0" distR="0">
            <wp:extent cx="6096000" cy="4572000"/>
            <wp:effectExtent l="19050" t="0" r="0" b="0"/>
            <wp:docPr id="1" name="Image 1" descr="http://atrst.dz/wp-content/uploads/2017/07/Sans-tit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rst.dz/wp-content/uploads/2017/07/Sans-titre-1-1.jpg"/>
                    <pic:cNvPicPr>
                      <a:picLocks noChangeAspect="1" noChangeArrowheads="1"/>
                    </pic:cNvPicPr>
                  </pic:nvPicPr>
                  <pic:blipFill>
                    <a:blip r:embed="rId7"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D21B85" w:rsidRPr="00D21B85" w:rsidRDefault="00D21B85" w:rsidP="00D21B85">
      <w:pPr>
        <w:spacing w:after="0" w:line="240" w:lineRule="auto"/>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w:t>
      </w:r>
    </w:p>
    <w:p w:rsidR="00D21B85" w:rsidRPr="00D21B85" w:rsidRDefault="00D21B85" w:rsidP="00D21B85">
      <w:pPr>
        <w:spacing w:after="0" w:line="240" w:lineRule="auto"/>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b/>
          <w:bCs/>
          <w:color w:val="666666"/>
          <w:sz w:val="21"/>
          <w:lang w:eastAsia="fr-FR"/>
        </w:rPr>
        <w:t>« </w:t>
      </w:r>
      <w:r w:rsidRPr="00D21B85">
        <w:rPr>
          <w:rFonts w:ascii="Arial" w:eastAsia="Times New Roman" w:hAnsi="Arial" w:cs="Arial"/>
          <w:i/>
          <w:iCs/>
          <w:color w:val="666666"/>
          <w:sz w:val="21"/>
          <w:lang w:eastAsia="fr-FR"/>
        </w:rPr>
        <w:t>ANOTHER ROOF, ANOTHER PROOF</w:t>
      </w:r>
      <w:r w:rsidRPr="00D21B85">
        <w:rPr>
          <w:rFonts w:ascii="Arial" w:eastAsia="Times New Roman" w:hAnsi="Arial" w:cs="Arial"/>
          <w:b/>
          <w:bCs/>
          <w:color w:val="666666"/>
          <w:sz w:val="21"/>
          <w:lang w:eastAsia="fr-FR"/>
        </w:rPr>
        <w:t>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Ce dicton du très célèbre mathématicien angrois </w:t>
      </w:r>
      <w:r w:rsidRPr="00D21B85">
        <w:rPr>
          <w:rFonts w:ascii="Arial" w:eastAsia="Times New Roman" w:hAnsi="Arial" w:cs="Arial"/>
          <w:i/>
          <w:iCs/>
          <w:color w:val="666666"/>
          <w:sz w:val="21"/>
          <w:lang w:eastAsia="fr-FR"/>
        </w:rPr>
        <w:t xml:space="preserve">Paul </w:t>
      </w:r>
      <w:proofErr w:type="spellStart"/>
      <w:r w:rsidRPr="00D21B85">
        <w:rPr>
          <w:rFonts w:ascii="Arial" w:eastAsia="Times New Roman" w:hAnsi="Arial" w:cs="Arial"/>
          <w:i/>
          <w:iCs/>
          <w:color w:val="666666"/>
          <w:sz w:val="21"/>
          <w:lang w:eastAsia="fr-FR"/>
        </w:rPr>
        <w:t>Erdös</w:t>
      </w:r>
      <w:proofErr w:type="spellEnd"/>
      <w:r w:rsidRPr="00D21B85">
        <w:rPr>
          <w:rFonts w:ascii="Arial" w:eastAsia="Times New Roman" w:hAnsi="Arial" w:cs="Arial"/>
          <w:i/>
          <w:iCs/>
          <w:color w:val="666666"/>
          <w:sz w:val="21"/>
          <w:lang w:eastAsia="fr-FR"/>
        </w:rPr>
        <w:t>,</w:t>
      </w:r>
      <w:r w:rsidRPr="00D21B85">
        <w:rPr>
          <w:rFonts w:ascii="Arial" w:eastAsia="Times New Roman" w:hAnsi="Arial" w:cs="Arial"/>
          <w:color w:val="666666"/>
          <w:sz w:val="21"/>
          <w:szCs w:val="21"/>
          <w:lang w:eastAsia="fr-FR"/>
        </w:rPr>
        <w:t> résume si bien l’importance de la collaboration dans toute projection visant le progrès scientifique. Les projets de recherche les plus innovants sont, en majeure partie, bâtis autour de consortia incluant des institutions dont les individus disposent de connaissances et de moyens différents, les rendant complémentaires et très certainement novateurs. Actuellement, le tissu scientifique et technologique algérien recèle d’une richesse matérielle et humaine sans précédent. En effet, </w:t>
      </w:r>
      <w:hyperlink r:id="rId8" w:history="1">
        <w:r w:rsidRPr="00D21B85">
          <w:rPr>
            <w:rFonts w:ascii="Arial" w:eastAsia="Times New Roman" w:hAnsi="Arial" w:cs="Arial"/>
            <w:color w:val="2EA3F2"/>
            <w:sz w:val="21"/>
            <w:lang w:eastAsia="fr-FR"/>
          </w:rPr>
          <w:t>les laboratoires de recherche</w:t>
        </w:r>
      </w:hyperlink>
      <w:r w:rsidRPr="00D21B85">
        <w:rPr>
          <w:rFonts w:ascii="Arial" w:eastAsia="Times New Roman" w:hAnsi="Arial" w:cs="Arial"/>
          <w:color w:val="666666"/>
          <w:sz w:val="21"/>
          <w:szCs w:val="21"/>
          <w:lang w:eastAsia="fr-FR"/>
        </w:rPr>
        <w:t> relevant des universités algériennes et</w:t>
      </w:r>
      <w:r w:rsidRPr="00D21B85">
        <w:rPr>
          <w:rFonts w:ascii="Arial" w:eastAsia="Times New Roman" w:hAnsi="Arial" w:cs="Arial"/>
          <w:color w:val="666666"/>
          <w:sz w:val="21"/>
          <w:szCs w:val="21"/>
          <w:u w:val="single"/>
          <w:bdr w:val="none" w:sz="0" w:space="0" w:color="auto" w:frame="1"/>
          <w:lang w:eastAsia="fr-FR"/>
        </w:rPr>
        <w:t> </w:t>
      </w:r>
      <w:hyperlink r:id="rId9" w:history="1">
        <w:r w:rsidRPr="00D21B85">
          <w:rPr>
            <w:rFonts w:ascii="Arial" w:eastAsia="Times New Roman" w:hAnsi="Arial" w:cs="Arial"/>
            <w:color w:val="2EA3F2"/>
            <w:sz w:val="21"/>
            <w:lang w:eastAsia="fr-FR"/>
          </w:rPr>
          <w:t>les centres de recherche</w:t>
        </w:r>
      </w:hyperlink>
      <w:r w:rsidRPr="00D21B85">
        <w:rPr>
          <w:rFonts w:ascii="Arial" w:eastAsia="Times New Roman" w:hAnsi="Arial" w:cs="Arial"/>
          <w:color w:val="666666"/>
          <w:sz w:val="21"/>
          <w:szCs w:val="21"/>
          <w:lang w:eastAsia="fr-FR"/>
        </w:rPr>
        <w:t> ont été équipés de moyens conséquents et considérables, notamment lors des dix dernières années (voir La</w:t>
      </w:r>
      <w:r w:rsidRPr="00D21B85">
        <w:rPr>
          <w:rFonts w:ascii="Arial" w:eastAsia="Times New Roman" w:hAnsi="Arial" w:cs="Arial"/>
          <w:color w:val="666666"/>
          <w:sz w:val="21"/>
          <w:szCs w:val="21"/>
          <w:u w:val="single"/>
          <w:bdr w:val="none" w:sz="0" w:space="0" w:color="auto" w:frame="1"/>
          <w:lang w:eastAsia="fr-FR"/>
        </w:rPr>
        <w:t> </w:t>
      </w:r>
      <w:hyperlink r:id="rId10" w:history="1">
        <w:r w:rsidRPr="00D21B85">
          <w:rPr>
            <w:rFonts w:ascii="Arial" w:eastAsia="Times New Roman" w:hAnsi="Arial" w:cs="Arial"/>
            <w:color w:val="2EA3F2"/>
            <w:sz w:val="21"/>
            <w:lang w:eastAsia="fr-FR"/>
          </w:rPr>
          <w:t xml:space="preserve">plateforme de gestion </w:t>
        </w:r>
        <w:proofErr w:type="gramStart"/>
        <w:r w:rsidRPr="00D21B85">
          <w:rPr>
            <w:rFonts w:ascii="Arial" w:eastAsia="Times New Roman" w:hAnsi="Arial" w:cs="Arial"/>
            <w:color w:val="2EA3F2"/>
            <w:sz w:val="21"/>
            <w:lang w:eastAsia="fr-FR"/>
          </w:rPr>
          <w:t>des équipement lourds</w:t>
        </w:r>
        <w:proofErr w:type="gramEnd"/>
      </w:hyperlink>
      <w:r w:rsidRPr="00D21B85">
        <w:rPr>
          <w:rFonts w:ascii="Arial" w:eastAsia="Times New Roman" w:hAnsi="Arial" w:cs="Arial"/>
          <w:color w:val="666666"/>
          <w:sz w:val="21"/>
          <w:szCs w:val="21"/>
          <w:lang w:eastAsia="fr-FR"/>
        </w:rPr>
        <w:t>).</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De ce fait et consciente de la nécessité de mettre en place des mécanismes facilitant la mobilité des chercheurs dans le but de renforcer les collaborations entre institutions  et de mutualiser les moyens existants, l’ATRST lance un appel à proposition de </w:t>
      </w:r>
      <w:r w:rsidRPr="00D21B85">
        <w:rPr>
          <w:rFonts w:ascii="Arial" w:eastAsia="Times New Roman" w:hAnsi="Arial" w:cs="Arial"/>
          <w:b/>
          <w:bCs/>
          <w:i/>
          <w:iCs/>
          <w:color w:val="666666"/>
          <w:sz w:val="21"/>
          <w:lang w:eastAsia="fr-FR"/>
        </w:rPr>
        <w:t>projets de mobilité nationale</w:t>
      </w:r>
      <w:r w:rsidR="001072E4">
        <w:rPr>
          <w:rFonts w:ascii="Arial" w:eastAsia="Times New Roman" w:hAnsi="Arial" w:cs="Arial"/>
          <w:b/>
          <w:bCs/>
          <w:i/>
          <w:iCs/>
          <w:color w:val="666666"/>
          <w:sz w:val="21"/>
          <w:lang w:eastAsia="fr-FR"/>
        </w:rPr>
        <w:t xml:space="preserve"> </w:t>
      </w:r>
      <w:r w:rsidRPr="00D21B85">
        <w:rPr>
          <w:rFonts w:ascii="Arial" w:eastAsia="Times New Roman" w:hAnsi="Arial" w:cs="Arial"/>
          <w:color w:val="666666"/>
          <w:sz w:val="21"/>
          <w:szCs w:val="21"/>
          <w:lang w:eastAsia="fr-FR"/>
        </w:rPr>
        <w:t>innovants et visant à promouvoir les échanges scientifiques et technologiques d’excellence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Le financement de ces projets, d’une durée maximale de 18 mois, est restreint à la mobilité croisée des chercheurs dans les institutions  partenaires incluant la billetterie et l’hébergement en demi-pension pour une période n’excédant pas deux (2) semaines par membre et un maximum de six (6) membres par projet. Le croisement entre (laboratoire universitaire ou centre de recherche) et (entreprise) serait favorisé.</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xml:space="preserve">Cet appel à projets est ouvert à toutes les thématiques couvertes par l’ATRST, soit les thématiques en sciences et technologie en dehors des sciences de la nature et de la vie, </w:t>
      </w:r>
      <w:r w:rsidRPr="00D21B85">
        <w:rPr>
          <w:rFonts w:ascii="Arial" w:eastAsia="Times New Roman" w:hAnsi="Arial" w:cs="Arial"/>
          <w:color w:val="666666"/>
          <w:sz w:val="21"/>
          <w:szCs w:val="21"/>
          <w:lang w:eastAsia="fr-FR"/>
        </w:rPr>
        <w:lastRenderedPageBreak/>
        <w:t>de la biotechnologie, des sciences médicales et sanitaires et des sciences humaines et sociales.</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Le </w:t>
      </w:r>
      <w:hyperlink r:id="rId11" w:history="1">
        <w:r w:rsidRPr="00D21B85">
          <w:rPr>
            <w:rFonts w:ascii="Arial" w:eastAsia="Times New Roman" w:hAnsi="Arial" w:cs="Arial"/>
            <w:color w:val="2EA3F2"/>
            <w:sz w:val="21"/>
            <w:lang w:eastAsia="fr-FR"/>
          </w:rPr>
          <w:t>canevas de soumission</w:t>
        </w:r>
      </w:hyperlink>
      <w:r w:rsidRPr="00D21B85">
        <w:rPr>
          <w:rFonts w:ascii="Arial" w:eastAsia="Times New Roman" w:hAnsi="Arial" w:cs="Arial"/>
          <w:color w:val="666666"/>
          <w:sz w:val="21"/>
          <w:szCs w:val="21"/>
          <w:lang w:eastAsia="fr-FR"/>
        </w:rPr>
        <w:t> doit être impérativement déposé avant la date de clôture de l’appel fixée au </w:t>
      </w:r>
      <w:r w:rsidRPr="00D21B85">
        <w:rPr>
          <w:rFonts w:ascii="Arial" w:eastAsia="Times New Roman" w:hAnsi="Arial" w:cs="Arial"/>
          <w:b/>
          <w:bCs/>
          <w:color w:val="E02B20"/>
          <w:sz w:val="21"/>
          <w:lang w:eastAsia="fr-FR"/>
        </w:rPr>
        <w:t>30 Septembre 2017</w:t>
      </w:r>
      <w:r w:rsidRPr="00D21B85">
        <w:rPr>
          <w:rFonts w:ascii="Arial" w:eastAsia="Times New Roman" w:hAnsi="Arial" w:cs="Arial"/>
          <w:color w:val="666666"/>
          <w:sz w:val="21"/>
          <w:szCs w:val="21"/>
          <w:lang w:eastAsia="fr-FR"/>
        </w:rPr>
        <w:t> par courrier électronique à l’adresse </w:t>
      </w:r>
      <w:hyperlink r:id="rId12" w:history="1">
        <w:r w:rsidRPr="00D21B85">
          <w:rPr>
            <w:rFonts w:ascii="Arial" w:eastAsia="Times New Roman" w:hAnsi="Arial" w:cs="Arial"/>
            <w:color w:val="2EA3F2"/>
            <w:sz w:val="21"/>
            <w:lang w:eastAsia="fr-FR"/>
          </w:rPr>
          <w:t>programmation@atrst.dz</w:t>
        </w:r>
      </w:hyperlink>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Le canevas sous format papier signé par tous les membres du projet ainsi que par les responsables de leurs institutions et entités doit être envoyé en version originale au plus tard 10 jours après la date de clôture de l’appel </w:t>
      </w:r>
      <w:r w:rsidRPr="00D21B85">
        <w:rPr>
          <w:rFonts w:ascii="Arial" w:eastAsia="Times New Roman" w:hAnsi="Arial" w:cs="Arial"/>
          <w:b/>
          <w:bCs/>
          <w:color w:val="E02B20"/>
          <w:sz w:val="21"/>
          <w:lang w:eastAsia="fr-FR"/>
        </w:rPr>
        <w:t>(10 Octobre 2017)</w:t>
      </w:r>
      <w:r w:rsidRPr="00D21B85">
        <w:rPr>
          <w:rFonts w:ascii="Arial" w:eastAsia="Times New Roman" w:hAnsi="Arial" w:cs="Arial"/>
          <w:color w:val="E02B20"/>
          <w:sz w:val="21"/>
          <w:szCs w:val="21"/>
          <w:bdr w:val="none" w:sz="0" w:space="0" w:color="auto" w:frame="1"/>
          <w:lang w:eastAsia="fr-FR"/>
        </w:rPr>
        <w:t> </w:t>
      </w:r>
      <w:r w:rsidRPr="00D21B85">
        <w:rPr>
          <w:rFonts w:ascii="Arial" w:eastAsia="Times New Roman" w:hAnsi="Arial" w:cs="Arial"/>
          <w:color w:val="666666"/>
          <w:sz w:val="21"/>
          <w:szCs w:val="21"/>
          <w:lang w:eastAsia="fr-FR"/>
        </w:rPr>
        <w:t>à l’adresse suivante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b/>
          <w:bCs/>
          <w:color w:val="666666"/>
          <w:sz w:val="21"/>
          <w:lang w:eastAsia="fr-FR"/>
        </w:rPr>
        <w:t>Agence thématique de recherche en sciences et technologie</w:t>
      </w:r>
    </w:p>
    <w:p w:rsidR="00D21B85" w:rsidRPr="00D21B85" w:rsidRDefault="00D21B85" w:rsidP="00F60729">
      <w:pPr>
        <w:spacing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b/>
          <w:bCs/>
          <w:color w:val="666666"/>
          <w:sz w:val="21"/>
          <w:lang w:eastAsia="fr-FR"/>
        </w:rPr>
        <w:t xml:space="preserve">Avenue Pasteur, ENSA Ex INA, Belfort, B.P 62- </w:t>
      </w:r>
      <w:proofErr w:type="spellStart"/>
      <w:r w:rsidRPr="00D21B85">
        <w:rPr>
          <w:rFonts w:ascii="Arial" w:eastAsia="Times New Roman" w:hAnsi="Arial" w:cs="Arial"/>
          <w:b/>
          <w:bCs/>
          <w:color w:val="666666"/>
          <w:sz w:val="21"/>
          <w:lang w:eastAsia="fr-FR"/>
        </w:rPr>
        <w:t>Hacene</w:t>
      </w:r>
      <w:proofErr w:type="spellEnd"/>
      <w:r w:rsidRPr="00D21B85">
        <w:rPr>
          <w:rFonts w:ascii="Arial" w:eastAsia="Times New Roman" w:hAnsi="Arial" w:cs="Arial"/>
          <w:b/>
          <w:bCs/>
          <w:color w:val="666666"/>
          <w:sz w:val="21"/>
          <w:lang w:eastAsia="fr-FR"/>
        </w:rPr>
        <w:t xml:space="preserve"> </w:t>
      </w:r>
      <w:proofErr w:type="spellStart"/>
      <w:r w:rsidRPr="00D21B85">
        <w:rPr>
          <w:rFonts w:ascii="Arial" w:eastAsia="Times New Roman" w:hAnsi="Arial" w:cs="Arial"/>
          <w:b/>
          <w:bCs/>
          <w:color w:val="666666"/>
          <w:sz w:val="21"/>
          <w:lang w:eastAsia="fr-FR"/>
        </w:rPr>
        <w:t>Badi</w:t>
      </w:r>
      <w:proofErr w:type="spellEnd"/>
      <w:r w:rsidRPr="00D21B85">
        <w:rPr>
          <w:rFonts w:ascii="Arial" w:eastAsia="Times New Roman" w:hAnsi="Arial" w:cs="Arial"/>
          <w:b/>
          <w:bCs/>
          <w:color w:val="666666"/>
          <w:sz w:val="21"/>
          <w:lang w:eastAsia="fr-FR"/>
        </w:rPr>
        <w:t>, El Harrach, Alger.</w:t>
      </w:r>
    </w:p>
    <w:p w:rsidR="00181F81" w:rsidRPr="00F07F52" w:rsidRDefault="00181F81" w:rsidP="00F07F52"/>
    <w:sectPr w:rsidR="00181F81" w:rsidRPr="00F07F52" w:rsidSect="00181F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B85"/>
    <w:rsid w:val="001072E4"/>
    <w:rsid w:val="00181F81"/>
    <w:rsid w:val="001917AA"/>
    <w:rsid w:val="001A6F98"/>
    <w:rsid w:val="00506DF1"/>
    <w:rsid w:val="00562E1E"/>
    <w:rsid w:val="005F3D9A"/>
    <w:rsid w:val="00731DFD"/>
    <w:rsid w:val="00910795"/>
    <w:rsid w:val="00930C9D"/>
    <w:rsid w:val="00BF62B5"/>
    <w:rsid w:val="00CE22BB"/>
    <w:rsid w:val="00D21B85"/>
    <w:rsid w:val="00F07F52"/>
    <w:rsid w:val="00F607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81"/>
  </w:style>
  <w:style w:type="paragraph" w:styleId="Titre1">
    <w:name w:val="heading 1"/>
    <w:basedOn w:val="Normal"/>
    <w:link w:val="Titre1Car"/>
    <w:uiPriority w:val="9"/>
    <w:qFormat/>
    <w:rsid w:val="00D21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1B85"/>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D21B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ed">
    <w:name w:val="published"/>
    <w:basedOn w:val="Policepardfaut"/>
    <w:rsid w:val="00D21B85"/>
  </w:style>
  <w:style w:type="character" w:styleId="Lienhypertexte">
    <w:name w:val="Hyperlink"/>
    <w:basedOn w:val="Policepardfaut"/>
    <w:uiPriority w:val="99"/>
    <w:semiHidden/>
    <w:unhideWhenUsed/>
    <w:rsid w:val="00D21B85"/>
    <w:rPr>
      <w:color w:val="0000FF"/>
      <w:u w:val="single"/>
    </w:rPr>
  </w:style>
  <w:style w:type="character" w:customStyle="1" w:styleId="comments-number">
    <w:name w:val="comments-number"/>
    <w:basedOn w:val="Policepardfaut"/>
    <w:rsid w:val="00D21B85"/>
  </w:style>
  <w:style w:type="paragraph" w:styleId="NormalWeb">
    <w:name w:val="Normal (Web)"/>
    <w:basedOn w:val="Normal"/>
    <w:uiPriority w:val="99"/>
    <w:semiHidden/>
    <w:unhideWhenUsed/>
    <w:rsid w:val="00D21B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1B85"/>
    <w:rPr>
      <w:b/>
      <w:bCs/>
    </w:rPr>
  </w:style>
  <w:style w:type="character" w:styleId="Accentuation">
    <w:name w:val="Emphasis"/>
    <w:basedOn w:val="Policepardfaut"/>
    <w:uiPriority w:val="20"/>
    <w:qFormat/>
    <w:rsid w:val="00D21B85"/>
    <w:rPr>
      <w:i/>
      <w:iCs/>
    </w:rPr>
  </w:style>
  <w:style w:type="paragraph" w:styleId="Textedebulles">
    <w:name w:val="Balloon Text"/>
    <w:basedOn w:val="Normal"/>
    <w:link w:val="TextedebullesCar"/>
    <w:uiPriority w:val="99"/>
    <w:semiHidden/>
    <w:unhideWhenUsed/>
    <w:rsid w:val="00D21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020">
      <w:bodyDiv w:val="1"/>
      <w:marLeft w:val="0"/>
      <w:marRight w:val="0"/>
      <w:marTop w:val="0"/>
      <w:marBottom w:val="0"/>
      <w:divBdr>
        <w:top w:val="none" w:sz="0" w:space="0" w:color="auto"/>
        <w:left w:val="none" w:sz="0" w:space="0" w:color="auto"/>
        <w:bottom w:val="none" w:sz="0" w:space="0" w:color="auto"/>
        <w:right w:val="none" w:sz="0" w:space="0" w:color="auto"/>
      </w:divBdr>
      <w:divsChild>
        <w:div w:id="1975789005">
          <w:marLeft w:val="0"/>
          <w:marRight w:val="0"/>
          <w:marTop w:val="0"/>
          <w:marBottom w:val="0"/>
          <w:divBdr>
            <w:top w:val="none" w:sz="0" w:space="0" w:color="auto"/>
            <w:left w:val="none" w:sz="0" w:space="0" w:color="auto"/>
            <w:bottom w:val="none" w:sz="0" w:space="0" w:color="auto"/>
            <w:right w:val="none" w:sz="0" w:space="0" w:color="auto"/>
          </w:divBdr>
          <w:divsChild>
            <w:div w:id="501049955">
              <w:marLeft w:val="0"/>
              <w:marRight w:val="0"/>
              <w:marTop w:val="100"/>
              <w:marBottom w:val="100"/>
              <w:divBdr>
                <w:top w:val="none" w:sz="0" w:space="0" w:color="auto"/>
                <w:left w:val="none" w:sz="0" w:space="0" w:color="auto"/>
                <w:bottom w:val="none" w:sz="0" w:space="0" w:color="auto"/>
                <w:right w:val="none" w:sz="0" w:space="0" w:color="auto"/>
              </w:divBdr>
              <w:divsChild>
                <w:div w:id="1632780253">
                  <w:marLeft w:val="0"/>
                  <w:marRight w:val="0"/>
                  <w:marTop w:val="0"/>
                  <w:marBottom w:val="0"/>
                  <w:divBdr>
                    <w:top w:val="none" w:sz="0" w:space="0" w:color="auto"/>
                    <w:left w:val="none" w:sz="0" w:space="0" w:color="auto"/>
                    <w:bottom w:val="none" w:sz="0" w:space="0" w:color="auto"/>
                    <w:right w:val="none" w:sz="0" w:space="0" w:color="auto"/>
                  </w:divBdr>
                  <w:divsChild>
                    <w:div w:id="1322393698">
                      <w:marLeft w:val="0"/>
                      <w:marRight w:val="0"/>
                      <w:marTop w:val="0"/>
                      <w:marBottom w:val="0"/>
                      <w:divBdr>
                        <w:top w:val="none" w:sz="0" w:space="0" w:color="auto"/>
                        <w:left w:val="none" w:sz="0" w:space="0" w:color="auto"/>
                        <w:bottom w:val="none" w:sz="0" w:space="0" w:color="auto"/>
                        <w:right w:val="none" w:sz="0" w:space="0" w:color="auto"/>
                      </w:divBdr>
                      <w:divsChild>
                        <w:div w:id="1890338782">
                          <w:marLeft w:val="0"/>
                          <w:marRight w:val="0"/>
                          <w:marTop w:val="0"/>
                          <w:marBottom w:val="0"/>
                          <w:divBdr>
                            <w:top w:val="none" w:sz="0" w:space="0" w:color="auto"/>
                            <w:left w:val="none" w:sz="0" w:space="0" w:color="auto"/>
                            <w:bottom w:val="none" w:sz="0" w:space="0" w:color="auto"/>
                            <w:right w:val="none" w:sz="0" w:space="0" w:color="auto"/>
                          </w:divBdr>
                        </w:div>
                        <w:div w:id="273949073">
                          <w:marLeft w:val="0"/>
                          <w:marRight w:val="0"/>
                          <w:marTop w:val="0"/>
                          <w:marBottom w:val="0"/>
                          <w:divBdr>
                            <w:top w:val="none" w:sz="0" w:space="0" w:color="auto"/>
                            <w:left w:val="none" w:sz="0" w:space="0" w:color="auto"/>
                            <w:bottom w:val="none" w:sz="0" w:space="0" w:color="auto"/>
                            <w:right w:val="none" w:sz="0" w:space="0" w:color="auto"/>
                          </w:divBdr>
                          <w:divsChild>
                            <w:div w:id="1295481508">
                              <w:marLeft w:val="0"/>
                              <w:marRight w:val="0"/>
                              <w:marTop w:val="0"/>
                              <w:marBottom w:val="0"/>
                              <w:divBdr>
                                <w:top w:val="none" w:sz="0" w:space="0" w:color="auto"/>
                                <w:left w:val="none" w:sz="0" w:space="0" w:color="auto"/>
                                <w:bottom w:val="none" w:sz="0" w:space="0" w:color="auto"/>
                                <w:right w:val="none" w:sz="0" w:space="0" w:color="auto"/>
                              </w:divBdr>
                              <w:divsChild>
                                <w:div w:id="244386111">
                                  <w:marLeft w:val="0"/>
                                  <w:marRight w:val="0"/>
                                  <w:marTop w:val="100"/>
                                  <w:marBottom w:val="100"/>
                                  <w:divBdr>
                                    <w:top w:val="none" w:sz="0" w:space="0" w:color="auto"/>
                                    <w:left w:val="none" w:sz="0" w:space="0" w:color="auto"/>
                                    <w:bottom w:val="none" w:sz="0" w:space="0" w:color="auto"/>
                                    <w:right w:val="none" w:sz="0" w:space="0" w:color="auto"/>
                                  </w:divBdr>
                                  <w:divsChild>
                                    <w:div w:id="1864198465">
                                      <w:marLeft w:val="0"/>
                                      <w:marRight w:val="0"/>
                                      <w:marTop w:val="0"/>
                                      <w:marBottom w:val="0"/>
                                      <w:divBdr>
                                        <w:top w:val="none" w:sz="0" w:space="0" w:color="auto"/>
                                        <w:left w:val="none" w:sz="0" w:space="0" w:color="auto"/>
                                        <w:bottom w:val="none" w:sz="0" w:space="0" w:color="auto"/>
                                        <w:right w:val="none" w:sz="0" w:space="0" w:color="auto"/>
                                      </w:divBdr>
                                      <w:divsChild>
                                        <w:div w:id="678770892">
                                          <w:marLeft w:val="0"/>
                                          <w:marRight w:val="0"/>
                                          <w:marTop w:val="0"/>
                                          <w:marBottom w:val="385"/>
                                          <w:divBdr>
                                            <w:top w:val="none" w:sz="0" w:space="0" w:color="auto"/>
                                            <w:left w:val="none" w:sz="0" w:space="0" w:color="auto"/>
                                            <w:bottom w:val="none" w:sz="0" w:space="0" w:color="auto"/>
                                            <w:right w:val="none" w:sz="0" w:space="0" w:color="auto"/>
                                          </w:divBdr>
                                        </w:div>
                                        <w:div w:id="2065640284">
                                          <w:marLeft w:val="0"/>
                                          <w:marRight w:val="0"/>
                                          <w:marTop w:val="0"/>
                                          <w:marBottom w:val="3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0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lilab.dgrsdt.dz/index.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mobilite@atrst.d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rst.dz/appel-a-projets-de-mobilite/" TargetMode="External"/><Relationship Id="rId11" Type="http://schemas.openxmlformats.org/officeDocument/2006/relationships/hyperlink" Target="http://atrst.dz/wp-content/uploads/2017/07/canevas_proposition_projet_mobilit%C3%A9.docx" TargetMode="External"/><Relationship Id="rId5" Type="http://schemas.openxmlformats.org/officeDocument/2006/relationships/hyperlink" Target="http://atrst.dz/category/appels/" TargetMode="External"/><Relationship Id="rId10" Type="http://schemas.openxmlformats.org/officeDocument/2006/relationships/hyperlink" Target="http://www.dgrsdt.dz/pg2esl/start.php" TargetMode="External"/><Relationship Id="rId4" Type="http://schemas.openxmlformats.org/officeDocument/2006/relationships/hyperlink" Target="http://atrst.dz/category/actualites/" TargetMode="External"/><Relationship Id="rId9" Type="http://schemas.openxmlformats.org/officeDocument/2006/relationships/hyperlink" Target="http://www.dgrsdt.dz/Fr/?fc=Ce_R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DPPR</dc:creator>
  <cp:lastModifiedBy>DPPR</cp:lastModifiedBy>
  <cp:revision>4</cp:revision>
  <cp:lastPrinted>2017-07-11T13:36:00Z</cp:lastPrinted>
  <dcterms:created xsi:type="dcterms:W3CDTF">2017-07-11T11:40:00Z</dcterms:created>
  <dcterms:modified xsi:type="dcterms:W3CDTF">2017-09-10T13:53:00Z</dcterms:modified>
</cp:coreProperties>
</file>